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D49" w:rsidRDefault="00E25D49" w:rsidP="00E25D49">
      <w:pPr>
        <w:spacing w:line="480" w:lineRule="auto"/>
        <w:jc w:val="center"/>
        <w:rPr>
          <w:b/>
        </w:rPr>
      </w:pPr>
    </w:p>
    <w:p w:rsidR="00E25D49" w:rsidRDefault="00E25D49" w:rsidP="00E25D49">
      <w:pPr>
        <w:spacing w:line="480" w:lineRule="auto"/>
        <w:jc w:val="center"/>
        <w:rPr>
          <w:b/>
        </w:rPr>
      </w:pPr>
    </w:p>
    <w:p w:rsidR="00E25D49" w:rsidRDefault="00E25D49" w:rsidP="00E25D49">
      <w:pPr>
        <w:spacing w:line="480" w:lineRule="auto"/>
        <w:jc w:val="center"/>
        <w:rPr>
          <w:b/>
        </w:rPr>
      </w:pPr>
    </w:p>
    <w:p w:rsidR="00E25D49" w:rsidRDefault="00E25D49" w:rsidP="00E25D49">
      <w:pPr>
        <w:spacing w:line="480" w:lineRule="auto"/>
        <w:jc w:val="center"/>
        <w:rPr>
          <w:b/>
        </w:rPr>
      </w:pPr>
    </w:p>
    <w:p w:rsidR="00E25D49" w:rsidRPr="00E25D49" w:rsidRDefault="00E25D49" w:rsidP="00860171">
      <w:pPr>
        <w:spacing w:line="480" w:lineRule="auto"/>
        <w:jc w:val="center"/>
        <w:rPr>
          <w:b/>
        </w:rPr>
      </w:pPr>
      <w:r w:rsidRPr="00E25D49">
        <w:rPr>
          <w:b/>
        </w:rPr>
        <w:t>Case Study</w:t>
      </w:r>
    </w:p>
    <w:p w:rsidR="00E25D49" w:rsidRDefault="00E25D49" w:rsidP="00860171">
      <w:pPr>
        <w:spacing w:line="480" w:lineRule="auto"/>
        <w:jc w:val="center"/>
      </w:pPr>
    </w:p>
    <w:p w:rsidR="00E25D49" w:rsidRDefault="00E25D49" w:rsidP="00860171">
      <w:pPr>
        <w:spacing w:line="480" w:lineRule="auto"/>
        <w:jc w:val="center"/>
      </w:pPr>
    </w:p>
    <w:p w:rsidR="00E25D49" w:rsidRDefault="00E25D49" w:rsidP="00860171">
      <w:pPr>
        <w:spacing w:line="480" w:lineRule="auto"/>
        <w:jc w:val="center"/>
      </w:pPr>
    </w:p>
    <w:p w:rsidR="00E25D49" w:rsidRPr="00E25D49" w:rsidRDefault="00E25D49" w:rsidP="00860171">
      <w:pPr>
        <w:spacing w:line="480" w:lineRule="auto"/>
        <w:jc w:val="center"/>
      </w:pPr>
      <w:r w:rsidRPr="00E25D49">
        <w:t>Student’s Name</w:t>
      </w:r>
    </w:p>
    <w:p w:rsidR="00E25D49" w:rsidRPr="00E25D49" w:rsidRDefault="00E25D49" w:rsidP="00860171">
      <w:pPr>
        <w:spacing w:line="480" w:lineRule="auto"/>
        <w:jc w:val="center"/>
      </w:pPr>
      <w:r w:rsidRPr="00E25D49">
        <w:t>Institution of Affiliation</w:t>
      </w:r>
    </w:p>
    <w:p w:rsidR="00E25D49" w:rsidRPr="00E25D49" w:rsidRDefault="00E25D49" w:rsidP="00860171">
      <w:pPr>
        <w:spacing w:line="480" w:lineRule="auto"/>
        <w:jc w:val="center"/>
      </w:pPr>
      <w:r w:rsidRPr="00E25D49">
        <w:t>Course Code and Name</w:t>
      </w:r>
    </w:p>
    <w:p w:rsidR="00E25D49" w:rsidRPr="00E25D49" w:rsidRDefault="00E25D49" w:rsidP="00860171">
      <w:pPr>
        <w:spacing w:line="480" w:lineRule="auto"/>
        <w:jc w:val="center"/>
      </w:pPr>
      <w:r w:rsidRPr="00E25D49">
        <w:t>Professor</w:t>
      </w:r>
    </w:p>
    <w:p w:rsidR="00E25D49" w:rsidRPr="00E25D49" w:rsidRDefault="00E25D49" w:rsidP="00860171">
      <w:pPr>
        <w:spacing w:line="480" w:lineRule="auto"/>
        <w:jc w:val="center"/>
      </w:pPr>
      <w:r w:rsidRPr="00E25D49">
        <w:t>Date</w:t>
      </w:r>
    </w:p>
    <w:p w:rsidR="00E25D49" w:rsidRDefault="00E25D49">
      <w:r>
        <w:br w:type="page"/>
      </w:r>
    </w:p>
    <w:p w:rsidR="00257AE3" w:rsidRPr="00860171" w:rsidRDefault="00B543D5" w:rsidP="00E25D49">
      <w:pPr>
        <w:spacing w:line="480" w:lineRule="auto"/>
        <w:jc w:val="center"/>
        <w:rPr>
          <w:b/>
        </w:rPr>
      </w:pPr>
      <w:r w:rsidRPr="00860171">
        <w:rPr>
          <w:b/>
        </w:rPr>
        <w:lastRenderedPageBreak/>
        <w:t>Post #3 Maria Latent TB</w:t>
      </w:r>
    </w:p>
    <w:p w:rsidR="00D006BB" w:rsidRPr="00E25D49" w:rsidRDefault="00D006BB" w:rsidP="00E25D49">
      <w:pPr>
        <w:spacing w:line="480" w:lineRule="auto"/>
        <w:ind w:firstLine="720"/>
      </w:pPr>
      <w:r w:rsidRPr="00E25D49">
        <w:t xml:space="preserve">The main goal of treatment for Tuberculosis (TB) is to cure the individual while minimizing risk of death and disability and reducing transmission of the causative agent </w:t>
      </w:r>
      <w:r w:rsidRPr="00E25D49">
        <w:rPr>
          <w:i/>
        </w:rPr>
        <w:t>Mycobacterium tuberculosis</w:t>
      </w:r>
      <w:r w:rsidRPr="00E25D49">
        <w:t xml:space="preserve">. According to the National guidelines, TB must be treated for at least 6 months and in some cases even longer. </w:t>
      </w:r>
      <w:r w:rsidR="004C1876" w:rsidRPr="00E25D49">
        <w:t>The initial phase of treatment includes a 2-month treatment phase followed by a continuation phase of either 4 or 7 months with the 4-month continuation phase being used for the majority of patients</w:t>
      </w:r>
      <w:r w:rsidR="00E25D49" w:rsidRPr="00E25D49">
        <w:t xml:space="preserve"> (CDC, 2020)</w:t>
      </w:r>
      <w:r w:rsidR="004C1876" w:rsidRPr="00E25D49">
        <w:t xml:space="preserve">. </w:t>
      </w:r>
      <w:r w:rsidRPr="00E25D49">
        <w:t xml:space="preserve">If the treatment is not continued for a long enough duration, then complete eradication of the causative agent will not be actualized and the resultant surviving bacteria might cause the reactivation of the diseases rendering the patient ill and infectious again, potentially with drug-resistant </w:t>
      </w:r>
      <w:r w:rsidR="00770845" w:rsidRPr="00E25D49">
        <w:t>disease (</w:t>
      </w:r>
      <w:r w:rsidR="00E25D49" w:rsidRPr="00E25D49">
        <w:t>CDC, 2020</w:t>
      </w:r>
      <w:r w:rsidRPr="00E25D49">
        <w:t xml:space="preserve">). The overall goal of treatment is offer the safest and most effective therapy in the shortest period of time. </w:t>
      </w:r>
      <w:r w:rsidR="00966A7B" w:rsidRPr="00E25D49">
        <w:t>With adequate treatment almost all patients will recover and be cured (</w:t>
      </w:r>
      <w:r w:rsidR="00E25D49" w:rsidRPr="00E25D49">
        <w:t>CDC, 2020</w:t>
      </w:r>
      <w:r w:rsidR="00966A7B" w:rsidRPr="00E25D49">
        <w:t>).</w:t>
      </w:r>
      <w:r w:rsidR="00700428" w:rsidRPr="00E25D49">
        <w:t xml:space="preserve"> Discontinuation of treatment or failure of adherence to the treatment plan, like in this case, result in inadequate treatment which is can lead to treatment failure, relapse, ongoing transmission, and development of drug resistance (</w:t>
      </w:r>
      <w:r w:rsidR="00E25D49" w:rsidRPr="00E25D49">
        <w:t>CDC, 2020</w:t>
      </w:r>
      <w:r w:rsidR="00700428" w:rsidRPr="00E25D49">
        <w:t>).</w:t>
      </w:r>
    </w:p>
    <w:p w:rsidR="00B543D5" w:rsidRPr="00E25D49" w:rsidRDefault="00D006BB" w:rsidP="00E25D49">
      <w:pPr>
        <w:spacing w:line="480" w:lineRule="auto"/>
        <w:ind w:firstLine="720"/>
      </w:pPr>
      <w:r w:rsidRPr="00E25D49">
        <w:t xml:space="preserve">Maria is likely to take Isoniazid (INH) </w:t>
      </w:r>
      <w:r w:rsidR="00966A7B" w:rsidRPr="00E25D49">
        <w:t xml:space="preserve">for another 3-to 4- months this time in the form of combination therapy with other anti-mycobacterial agents. This is because the discontinuation of the therapy in addition </w:t>
      </w:r>
      <w:r w:rsidR="007B4A41" w:rsidRPr="00E25D49">
        <w:t xml:space="preserve">to the use of a single drug have been shown to bear increased susceptibility to lead to the development of a bacterial population that is resistant to the drug used. The rationale of using four-or do drug therapy in the treatment of TB is that the two or more drugs for which the </w:t>
      </w:r>
      <w:r w:rsidR="00770845" w:rsidRPr="00E25D49">
        <w:rPr>
          <w:i/>
        </w:rPr>
        <w:t>Mycobacterium</w:t>
      </w:r>
      <w:r w:rsidR="007B4A41" w:rsidRPr="00E25D49">
        <w:t xml:space="preserve"> is susceptible can each help prevent the emergence of tubercle bacilli that are resistant to the these drugs (</w:t>
      </w:r>
      <w:r w:rsidR="00E25D49" w:rsidRPr="00E25D49">
        <w:t>CDC, 2020</w:t>
      </w:r>
      <w:r w:rsidR="007B4A41" w:rsidRPr="00E25D49">
        <w:t xml:space="preserve">). </w:t>
      </w:r>
    </w:p>
    <w:p w:rsidR="00700428" w:rsidRPr="00E25D49" w:rsidRDefault="0070636A" w:rsidP="00E25D49">
      <w:pPr>
        <w:spacing w:line="480" w:lineRule="auto"/>
        <w:ind w:firstLine="720"/>
      </w:pPr>
      <w:r w:rsidRPr="00E25D49">
        <w:lastRenderedPageBreak/>
        <w:t>The question of whether she should start her treatment is highly dependent on what her laboratory tests reveal. If the she had received more or equal to 80% of her doses, and sputum done at current visit is acid-fast bacilli (AFB) smear negative on initial testing, then there will be no need for further therapy. If she had received more or equal to 80% of her dose and the sputum was AFB smear positive then she might need to continue with therapy</w:t>
      </w:r>
      <w:r w:rsidR="00E25D49" w:rsidRPr="00E25D49">
        <w:t xml:space="preserve"> (CDC, 2020)</w:t>
      </w:r>
      <w:r w:rsidRPr="00E25D49">
        <w:t>. If she had received less than 80% of the dose and relapses in less than 3 months duration, then she might need to continue therapy until all doses are completed (full course), but if the treatment cannot be completed within recommended timeframe for regimen, then there is need to restart therapy from the beginning (</w:t>
      </w:r>
      <w:r w:rsidR="00E25D49" w:rsidRPr="00E25D49">
        <w:t>CDC, 2020</w:t>
      </w:r>
      <w:r w:rsidRPr="00E25D49">
        <w:t>). Finally, if she had received less than 80% of the dose and relapses in more than 3 months duration, then she will need to restart therapy from the beginning with new initial and continuation phase (</w:t>
      </w:r>
      <w:r w:rsidR="00E25D49" w:rsidRPr="00E25D49">
        <w:t>CDC, 2020</w:t>
      </w:r>
      <w:r w:rsidRPr="00E25D49">
        <w:t xml:space="preserve">). </w:t>
      </w:r>
    </w:p>
    <w:p w:rsidR="0070636A" w:rsidRPr="00E25D49" w:rsidRDefault="00AD1095" w:rsidP="00E25D49">
      <w:pPr>
        <w:spacing w:line="480" w:lineRule="auto"/>
        <w:ind w:firstLine="720"/>
      </w:pPr>
      <w:r w:rsidRPr="00E25D49">
        <w:t xml:space="preserve">The requirements for follow-up are also depended on the patient’s response to therapy. </w:t>
      </w:r>
      <w:r w:rsidR="00770845" w:rsidRPr="00E25D49">
        <w:t xml:space="preserve">If she demonstrates a satisfactory response to 6-month regimen INH and rifampicin (RIF), then routine follow-up after treatment is not necessary. </w:t>
      </w:r>
      <w:r w:rsidRPr="00E25D49">
        <w:t>If she develops resistance to treatment with INH and RIF, then she should be monitored for 2 years post treatment. If she develops resistance to INH only or RIF alone, then follow-up must be individualized to the needs of the patient. If initially the TB was susceptible to the drugs being used then the patient is encouraged is report if she develops prolonged cough, fever, and or weight loss (</w:t>
      </w:r>
      <w:r w:rsidR="00E25D49" w:rsidRPr="00E25D49">
        <w:t>CDC, 2020</w:t>
      </w:r>
      <w:r w:rsidRPr="00E25D49">
        <w:t xml:space="preserve">). </w:t>
      </w:r>
    </w:p>
    <w:p w:rsidR="00AD1095" w:rsidRPr="00E25D49" w:rsidRDefault="00AD1095" w:rsidP="00E25D49">
      <w:pPr>
        <w:spacing w:line="480" w:lineRule="auto"/>
        <w:ind w:firstLine="720"/>
      </w:pPr>
      <w:r w:rsidRPr="00E25D49">
        <w:t>The black box warning of INH include skin rash which may be serious or minor, hepatotoxicity, nervous system damage, and peripheral neuropathy  which are often serious (</w:t>
      </w:r>
      <w:r w:rsidR="00E25D49" w:rsidRPr="00E25D49">
        <w:t>CDC, 2020</w:t>
      </w:r>
      <w:r w:rsidRPr="00E25D49">
        <w:t>). The patient is advised to stop medication once serious adverse reactions occur and consult their clinician immediately. Also, the occurrence rate of adverse reactions with INH use has been depicted to be higher in females (</w:t>
      </w:r>
      <w:r w:rsidR="00E25D49" w:rsidRPr="00E25D49">
        <w:t>Pettit et al., 2013</w:t>
      </w:r>
      <w:r w:rsidRPr="00E25D49">
        <w:t>).</w:t>
      </w:r>
    </w:p>
    <w:p w:rsidR="00AD1095" w:rsidRPr="00860171" w:rsidRDefault="00AD1095" w:rsidP="00E25D49">
      <w:pPr>
        <w:spacing w:line="480" w:lineRule="auto"/>
        <w:jc w:val="center"/>
        <w:rPr>
          <w:b/>
        </w:rPr>
      </w:pPr>
      <w:r w:rsidRPr="00860171">
        <w:rPr>
          <w:b/>
        </w:rPr>
        <w:lastRenderedPageBreak/>
        <w:t>References</w:t>
      </w:r>
    </w:p>
    <w:p w:rsidR="00AD1095" w:rsidRPr="00E25D49" w:rsidRDefault="00AD1095" w:rsidP="00E25D49">
      <w:pPr>
        <w:spacing w:line="480" w:lineRule="auto"/>
        <w:ind w:left="720" w:hanging="720"/>
      </w:pPr>
      <w:proofErr w:type="gramStart"/>
      <w:r w:rsidRPr="00E25D49">
        <w:t xml:space="preserve">Centers for Disease Control and Prevention (CDC) (2020) </w:t>
      </w:r>
      <w:r w:rsidRPr="00E25D49">
        <w:rPr>
          <w:i/>
        </w:rPr>
        <w:t>Chapter 6: Treatment of Tuberculosis Disease</w:t>
      </w:r>
      <w:r w:rsidRPr="00E25D49">
        <w:t>.</w:t>
      </w:r>
      <w:proofErr w:type="gramEnd"/>
      <w:r w:rsidRPr="00E25D49">
        <w:t xml:space="preserve"> Retrieved from </w:t>
      </w:r>
      <w:bookmarkStart w:id="0" w:name="_GoBack"/>
      <w:bookmarkEnd w:id="0"/>
      <w:r w:rsidR="0030159D">
        <w:fldChar w:fldCharType="begin"/>
      </w:r>
      <w:r w:rsidR="0030159D">
        <w:instrText xml:space="preserve"> HYPERLINK "https://www.google.com/url?sa=t&amp;rct=j&amp;q=&amp;esrc=s&amp;source=web&amp;cd=&amp;cad=rja&amp;uact=8&amp;ved=2ahUKEwjG1Ofuo6fsAhWRDmMBHfCwDhIQFjALegQIARAC&amp;url=https%3A%2F%2Fwww.cdc.gov%2Ftb%2Feducation%2Fcorecurr%2Fpdf%2Fchapter6.pdf&amp;usg=AOvVaw0sXlNk3G</w:instrText>
      </w:r>
      <w:r w:rsidR="0030159D">
        <w:instrText xml:space="preserve">17bfuXQSyuWrcI" </w:instrText>
      </w:r>
      <w:r w:rsidR="0030159D">
        <w:fldChar w:fldCharType="separate"/>
      </w:r>
      <w:r w:rsidR="00E25D49" w:rsidRPr="00E25D49">
        <w:rPr>
          <w:rStyle w:val="Hyperlink"/>
        </w:rPr>
        <w:t>https://www.google.com/url?sa=t&amp;rct=j&amp;q=&amp;esrc=s&amp;source=web&amp;cd=&amp;cad=rja&amp;uact=8&amp;ved=2ahUKEwjG1Ofuo6fsAhWRDmMBHfCwDhIQFjALegQIARAC&amp;url=https%3A%2F%2Fwww.cdc.gov%2Ftb%2Feducation%2Fcorecurr%2Fpdf%2Fchapter6.pdf&amp;usg=AOvVaw0sXlNk3G17bfuXQSyuWrcI</w:t>
      </w:r>
      <w:r w:rsidR="0030159D">
        <w:rPr>
          <w:rStyle w:val="Hyperlink"/>
        </w:rPr>
        <w:fldChar w:fldCharType="end"/>
      </w:r>
      <w:r w:rsidR="00E25D49" w:rsidRPr="00E25D49">
        <w:t xml:space="preserve"> </w:t>
      </w:r>
    </w:p>
    <w:p w:rsidR="00E25D49" w:rsidRPr="00E25D49" w:rsidRDefault="00E25D49" w:rsidP="00E25D49">
      <w:pPr>
        <w:spacing w:line="480" w:lineRule="auto"/>
        <w:ind w:left="720" w:hanging="720"/>
      </w:pPr>
      <w:proofErr w:type="gramStart"/>
      <w:r w:rsidRPr="00E25D49">
        <w:t>Pettit, A., Bethel, J., Hirsch-</w:t>
      </w:r>
      <w:proofErr w:type="spellStart"/>
      <w:r w:rsidRPr="00E25D49">
        <w:t>Moverman</w:t>
      </w:r>
      <w:proofErr w:type="spellEnd"/>
      <w:r w:rsidRPr="00E25D49">
        <w:t>, Y., &amp; Colson, P., Sterling, T. (2013).</w:t>
      </w:r>
      <w:proofErr w:type="gramEnd"/>
      <w:r w:rsidRPr="00E25D49">
        <w:t xml:space="preserve"> </w:t>
      </w:r>
      <w:proofErr w:type="gramStart"/>
      <w:r w:rsidRPr="00E25D49">
        <w:t>Female sex and discontinuation of isoniazid due to adverse effects during the treatment of latent tuberculosis.</w:t>
      </w:r>
      <w:proofErr w:type="gramEnd"/>
      <w:r w:rsidRPr="00E25D49">
        <w:t xml:space="preserve"> </w:t>
      </w:r>
      <w:r w:rsidRPr="00E25D49">
        <w:rPr>
          <w:i/>
        </w:rPr>
        <w:t xml:space="preserve">J </w:t>
      </w:r>
      <w:proofErr w:type="gramStart"/>
      <w:r w:rsidRPr="00E25D49">
        <w:rPr>
          <w:i/>
        </w:rPr>
        <w:t>Infect</w:t>
      </w:r>
      <w:r w:rsidRPr="00E25D49">
        <w:t>.,</w:t>
      </w:r>
      <w:proofErr w:type="gramEnd"/>
      <w:r w:rsidRPr="00E25D49">
        <w:t xml:space="preserve"> 67(5): 424-432</w:t>
      </w:r>
    </w:p>
    <w:sectPr w:rsidR="00E25D49" w:rsidRPr="00E25D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59D" w:rsidRDefault="0030159D" w:rsidP="00E25D49">
      <w:pPr>
        <w:spacing w:after="0" w:line="240" w:lineRule="auto"/>
      </w:pPr>
      <w:r>
        <w:separator/>
      </w:r>
    </w:p>
  </w:endnote>
  <w:endnote w:type="continuationSeparator" w:id="0">
    <w:p w:rsidR="0030159D" w:rsidRDefault="0030159D" w:rsidP="00E2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59D" w:rsidRDefault="0030159D" w:rsidP="00E25D49">
      <w:pPr>
        <w:spacing w:after="0" w:line="240" w:lineRule="auto"/>
      </w:pPr>
      <w:r>
        <w:separator/>
      </w:r>
    </w:p>
  </w:footnote>
  <w:footnote w:type="continuationSeparator" w:id="0">
    <w:p w:rsidR="0030159D" w:rsidRDefault="0030159D" w:rsidP="00E25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824282"/>
      <w:docPartObj>
        <w:docPartGallery w:val="Page Numbers (Top of Page)"/>
        <w:docPartUnique/>
      </w:docPartObj>
    </w:sdtPr>
    <w:sdtEndPr>
      <w:rPr>
        <w:noProof/>
      </w:rPr>
    </w:sdtEndPr>
    <w:sdtContent>
      <w:p w:rsidR="00E25D49" w:rsidRDefault="00E25D49">
        <w:pPr>
          <w:pStyle w:val="Header"/>
          <w:jc w:val="right"/>
        </w:pPr>
        <w:r>
          <w:fldChar w:fldCharType="begin"/>
        </w:r>
        <w:r>
          <w:instrText xml:space="preserve"> PAGE   \* MERGEFORMAT </w:instrText>
        </w:r>
        <w:r>
          <w:fldChar w:fldCharType="separate"/>
        </w:r>
        <w:r w:rsidR="00860171">
          <w:rPr>
            <w:noProof/>
          </w:rPr>
          <w:t>4</w:t>
        </w:r>
        <w:r>
          <w:rPr>
            <w:noProof/>
          </w:rPr>
          <w:fldChar w:fldCharType="end"/>
        </w:r>
      </w:p>
    </w:sdtContent>
  </w:sdt>
  <w:p w:rsidR="00E25D49" w:rsidRDefault="00E25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EA4"/>
    <w:rsid w:val="0030159D"/>
    <w:rsid w:val="004C1876"/>
    <w:rsid w:val="00700428"/>
    <w:rsid w:val="0070636A"/>
    <w:rsid w:val="00770845"/>
    <w:rsid w:val="007B4A41"/>
    <w:rsid w:val="00860171"/>
    <w:rsid w:val="00966A7B"/>
    <w:rsid w:val="009C6239"/>
    <w:rsid w:val="00AD1095"/>
    <w:rsid w:val="00B543D5"/>
    <w:rsid w:val="00B608B6"/>
    <w:rsid w:val="00D006BB"/>
    <w:rsid w:val="00D34D9C"/>
    <w:rsid w:val="00E25D49"/>
    <w:rsid w:val="00EE6279"/>
    <w:rsid w:val="00F1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5D49"/>
    <w:rPr>
      <w:color w:val="0000FF" w:themeColor="hyperlink"/>
      <w:u w:val="single"/>
    </w:rPr>
  </w:style>
  <w:style w:type="paragraph" w:styleId="Header">
    <w:name w:val="header"/>
    <w:basedOn w:val="Normal"/>
    <w:link w:val="HeaderChar"/>
    <w:uiPriority w:val="99"/>
    <w:unhideWhenUsed/>
    <w:rsid w:val="00E2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49"/>
  </w:style>
  <w:style w:type="paragraph" w:styleId="Footer">
    <w:name w:val="footer"/>
    <w:basedOn w:val="Normal"/>
    <w:link w:val="FooterChar"/>
    <w:uiPriority w:val="99"/>
    <w:unhideWhenUsed/>
    <w:rsid w:val="00E2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5D49"/>
    <w:rPr>
      <w:color w:val="0000FF" w:themeColor="hyperlink"/>
      <w:u w:val="single"/>
    </w:rPr>
  </w:style>
  <w:style w:type="paragraph" w:styleId="Header">
    <w:name w:val="header"/>
    <w:basedOn w:val="Normal"/>
    <w:link w:val="HeaderChar"/>
    <w:uiPriority w:val="99"/>
    <w:unhideWhenUsed/>
    <w:rsid w:val="00E2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49"/>
  </w:style>
  <w:style w:type="paragraph" w:styleId="Footer">
    <w:name w:val="footer"/>
    <w:basedOn w:val="Normal"/>
    <w:link w:val="FooterChar"/>
    <w:uiPriority w:val="99"/>
    <w:unhideWhenUsed/>
    <w:rsid w:val="00E2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4</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2020-10-09T08:43:00Z</dcterms:created>
  <dcterms:modified xsi:type="dcterms:W3CDTF">2020-10-10T12:18:00Z</dcterms:modified>
</cp:coreProperties>
</file>